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BE6B" w14:textId="77777777" w:rsidR="0098210B" w:rsidRDefault="0098210B" w:rsidP="002B27D7">
      <w:pPr>
        <w:spacing w:after="120" w:line="300" w:lineRule="exact"/>
        <w:jc w:val="both"/>
        <w:rPr>
          <w:b/>
          <w:bCs/>
          <w:sz w:val="28"/>
          <w:szCs w:val="28"/>
        </w:rPr>
      </w:pPr>
    </w:p>
    <w:p w14:paraId="498422E5" w14:textId="5F077823" w:rsidR="002B27D7" w:rsidRDefault="002B27D7" w:rsidP="002B27D7">
      <w:pPr>
        <w:spacing w:after="120" w:line="300" w:lineRule="exact"/>
        <w:jc w:val="both"/>
        <w:rPr>
          <w:b/>
          <w:bCs/>
          <w:sz w:val="28"/>
          <w:szCs w:val="28"/>
        </w:rPr>
      </w:pPr>
      <w:r w:rsidRPr="002B27D7">
        <w:rPr>
          <w:b/>
          <w:bCs/>
          <w:sz w:val="28"/>
          <w:szCs w:val="28"/>
        </w:rPr>
        <w:t>Resolución provisional de la 9ª edición del Proceso de Evaluación de la Calidad Editorial y Científica de Revistas Académicas Españolas, desarrollado por la FECYT</w:t>
      </w:r>
    </w:p>
    <w:p w14:paraId="54E48823" w14:textId="77777777" w:rsidR="0098210B" w:rsidRDefault="0098210B" w:rsidP="0098210B">
      <w:pPr>
        <w:spacing w:after="120" w:line="300" w:lineRule="exact"/>
        <w:jc w:val="right"/>
        <w:rPr>
          <w:b/>
          <w:bCs/>
        </w:rPr>
      </w:pPr>
    </w:p>
    <w:p w14:paraId="774051B5" w14:textId="4ACDD155" w:rsidR="0098210B" w:rsidRPr="0098210B" w:rsidRDefault="0098210B" w:rsidP="0098210B">
      <w:pPr>
        <w:spacing w:after="120" w:line="300" w:lineRule="exact"/>
        <w:jc w:val="right"/>
      </w:pPr>
      <w:r w:rsidRPr="0098210B">
        <w:rPr>
          <w:b/>
          <w:bCs/>
        </w:rPr>
        <w:t>Fecha de Publicación</w:t>
      </w:r>
      <w:r w:rsidRPr="0098210B">
        <w:t>: 12 de noviembre de 2025</w:t>
      </w:r>
    </w:p>
    <w:p w14:paraId="00024380" w14:textId="77777777" w:rsidR="002B27D7" w:rsidRDefault="002B27D7" w:rsidP="002B27D7">
      <w:pPr>
        <w:spacing w:after="120" w:line="300" w:lineRule="exact"/>
        <w:jc w:val="both"/>
        <w:rPr>
          <w:b/>
          <w:bCs/>
          <w:u w:val="single"/>
        </w:rPr>
      </w:pPr>
    </w:p>
    <w:p w14:paraId="6D02894D" w14:textId="77777777" w:rsidR="002B27D7" w:rsidRDefault="002B27D7" w:rsidP="002B27D7">
      <w:pPr>
        <w:spacing w:after="120" w:line="300" w:lineRule="exact"/>
        <w:jc w:val="both"/>
      </w:pPr>
      <w:r w:rsidRPr="002B27D7">
        <w:rPr>
          <w:b/>
          <w:bCs/>
          <w:u w:val="single"/>
        </w:rPr>
        <w:t>Objetivo del proceso:</w:t>
      </w:r>
      <w:r w:rsidRPr="002B27D7">
        <w:t xml:space="preserve"> </w:t>
      </w:r>
    </w:p>
    <w:p w14:paraId="6D3B8FBE" w14:textId="255FF339" w:rsidR="002B27D7" w:rsidRPr="002B27D7" w:rsidRDefault="002B27D7" w:rsidP="002B27D7">
      <w:pPr>
        <w:spacing w:after="120" w:line="300" w:lineRule="exact"/>
        <w:jc w:val="both"/>
      </w:pPr>
      <w:r w:rsidRPr="002B27D7">
        <w:t xml:space="preserve">Reconocer la calidad editorial y científica de revistas académicas españolas y promover su mejora continua mediante un sello que certifica buenas prácticas y compromiso con la comunidad científica. </w:t>
      </w:r>
    </w:p>
    <w:p w14:paraId="668F5FED" w14:textId="77777777" w:rsidR="002B27D7" w:rsidRDefault="002B27D7" w:rsidP="002B27D7">
      <w:pPr>
        <w:spacing w:after="120" w:line="300" w:lineRule="exact"/>
        <w:jc w:val="both"/>
      </w:pPr>
      <w:r w:rsidRPr="002B27D7">
        <w:rPr>
          <w:b/>
          <w:bCs/>
          <w:u w:val="single"/>
        </w:rPr>
        <w:t>Metodología del proceso:</w:t>
      </w:r>
      <w:r w:rsidRPr="002B27D7">
        <w:t xml:space="preserve"> </w:t>
      </w:r>
    </w:p>
    <w:p w14:paraId="0D140E99" w14:textId="69D68A95" w:rsidR="002B27D7" w:rsidRPr="002B27D7" w:rsidRDefault="002B27D7" w:rsidP="002B27D7">
      <w:pPr>
        <w:spacing w:after="120" w:line="300" w:lineRule="exact"/>
        <w:jc w:val="both"/>
      </w:pPr>
      <w:r w:rsidRPr="002B27D7">
        <w:t xml:space="preserve">Incluye fases de registro, evaluación editorial y evaluación científica, con requisitos como ISSN, edición en España y antigüedad mínima de cinco años. Se distinguen modalidades para obtener o renovar el sello.   </w:t>
      </w:r>
    </w:p>
    <w:p w14:paraId="3059386D" w14:textId="77777777" w:rsidR="002B27D7" w:rsidRDefault="002B27D7" w:rsidP="002B27D7">
      <w:pPr>
        <w:spacing w:after="120" w:line="300" w:lineRule="exact"/>
        <w:jc w:val="both"/>
      </w:pPr>
      <w:r w:rsidRPr="002B27D7">
        <w:rPr>
          <w:b/>
          <w:bCs/>
          <w:u w:val="single"/>
        </w:rPr>
        <w:t>Criterios de evaluación:</w:t>
      </w:r>
      <w:r w:rsidRPr="002B27D7">
        <w:t xml:space="preserve"> </w:t>
      </w:r>
    </w:p>
    <w:p w14:paraId="77F13616" w14:textId="51512084" w:rsidR="002B27D7" w:rsidRPr="002B27D7" w:rsidRDefault="002B27D7" w:rsidP="002B27D7">
      <w:pPr>
        <w:spacing w:after="120" w:line="300" w:lineRule="exact"/>
        <w:jc w:val="both"/>
      </w:pPr>
      <w:r w:rsidRPr="002B27D7">
        <w:t>Se valoran por un lado calidad editorial (regularidad, transparencia, visibilidad, impacto, ética, ciencia abierta y perspectiva de género entre otros aspectos) y para las revistas que se presentan en la modalidad de obtención calidad científica (impacto e influencia en la comunidad).</w:t>
      </w:r>
    </w:p>
    <w:p w14:paraId="62C8EDA1" w14:textId="77777777" w:rsidR="002B27D7" w:rsidRDefault="002B27D7" w:rsidP="002B27D7">
      <w:pPr>
        <w:spacing w:after="120" w:line="300" w:lineRule="exact"/>
        <w:jc w:val="both"/>
      </w:pPr>
      <w:r w:rsidRPr="002B27D7">
        <w:rPr>
          <w:b/>
          <w:bCs/>
          <w:u w:val="single"/>
        </w:rPr>
        <w:t>Evaluación editorial:</w:t>
      </w:r>
      <w:r w:rsidRPr="002B27D7">
        <w:t xml:space="preserve"> </w:t>
      </w:r>
    </w:p>
    <w:p w14:paraId="5580C19F" w14:textId="0C4F8C60" w:rsidR="002B27D7" w:rsidRPr="002B27D7" w:rsidRDefault="002B27D7" w:rsidP="002B27D7">
      <w:pPr>
        <w:spacing w:after="120" w:line="300" w:lineRule="exact"/>
        <w:jc w:val="both"/>
      </w:pPr>
      <w:r w:rsidRPr="002B27D7">
        <w:t xml:space="preserve">Se analiza la gestión editorial, transparencia, integración de ciencia abierta y perspectiva de género, utilizando procedimientos automatizados para asegurar objetividad y coherencia.   </w:t>
      </w:r>
    </w:p>
    <w:p w14:paraId="4C058F19" w14:textId="77777777" w:rsidR="002B27D7" w:rsidRDefault="002B27D7" w:rsidP="002B27D7">
      <w:pPr>
        <w:spacing w:after="120" w:line="300" w:lineRule="exact"/>
        <w:jc w:val="both"/>
      </w:pPr>
      <w:r w:rsidRPr="002B27D7">
        <w:rPr>
          <w:b/>
          <w:bCs/>
          <w:u w:val="single"/>
        </w:rPr>
        <w:t>Visibilidad e impacto</w:t>
      </w:r>
      <w:r w:rsidRPr="002B27D7">
        <w:rPr>
          <w:b/>
          <w:bCs/>
        </w:rPr>
        <w:t>:</w:t>
      </w:r>
      <w:r>
        <w:t xml:space="preserve"> </w:t>
      </w:r>
    </w:p>
    <w:p w14:paraId="124A1552" w14:textId="6F2802A6" w:rsidR="002B27D7" w:rsidRPr="006155D5" w:rsidRDefault="002B27D7" w:rsidP="002B27D7">
      <w:pPr>
        <w:spacing w:after="120" w:line="300" w:lineRule="exact"/>
        <w:jc w:val="both"/>
      </w:pPr>
      <w:r>
        <w:t xml:space="preserve">Se evalúa la presencia en bases de datos y el impacto científico mediante indicadores bibliométricos normalizados, usando las fuentes </w:t>
      </w:r>
      <w:proofErr w:type="spellStart"/>
      <w:r w:rsidRPr="00D42EAC">
        <w:t>OpenAlex</w:t>
      </w:r>
      <w:proofErr w:type="spellEnd"/>
      <w:r w:rsidRPr="00D42EAC">
        <w:t xml:space="preserve"> y </w:t>
      </w:r>
      <w:proofErr w:type="spellStart"/>
      <w:r w:rsidRPr="00D42EAC">
        <w:t>Scopus</w:t>
      </w:r>
      <w:proofErr w:type="spellEnd"/>
      <w:r>
        <w:t xml:space="preserve"> para medir citas y relevancia.  </w:t>
      </w:r>
      <w:r w:rsidRPr="006155D5">
        <w:t>El análisis abarca los trabajos publicados en la ventana de citación 20</w:t>
      </w:r>
      <w:r>
        <w:t>20</w:t>
      </w:r>
      <w:r w:rsidRPr="006155D5">
        <w:t>-202</w:t>
      </w:r>
      <w:r>
        <w:t>4</w:t>
      </w:r>
      <w:r w:rsidRPr="006155D5">
        <w:t xml:space="preserve">, tomando en consideración únicamente los documentos de tipo </w:t>
      </w:r>
      <w:r>
        <w:t>“</w:t>
      </w:r>
      <w:proofErr w:type="spellStart"/>
      <w:r w:rsidRPr="006155D5">
        <w:t>article</w:t>
      </w:r>
      <w:proofErr w:type="spellEnd"/>
      <w:r>
        <w:t>”</w:t>
      </w:r>
      <w:r w:rsidRPr="006155D5">
        <w:t>, y excluyendo revisiones, editoriales, cartas u otros formatos no equiparables.</w:t>
      </w:r>
    </w:p>
    <w:p w14:paraId="3F20A456" w14:textId="77777777" w:rsidR="002B27D7" w:rsidRPr="006155D5" w:rsidRDefault="002B27D7" w:rsidP="002B27D7">
      <w:pPr>
        <w:spacing w:after="120" w:line="300" w:lineRule="exact"/>
        <w:jc w:val="both"/>
      </w:pPr>
      <w:r w:rsidRPr="006155D5">
        <w:t>La metodología aplicada consiste en calcular, para cada categoría temática, la media de citas recibidas por los artículos publicados en las revistas evaluadas. Este valor medio (CRᵧ) se obtiene dividiendo el total de citas acumuladas por el número de artículos del mismo año y área temática.</w:t>
      </w:r>
    </w:p>
    <w:p w14:paraId="624D3DE6" w14:textId="77777777" w:rsidR="002B27D7" w:rsidRPr="006155D5" w:rsidRDefault="002B27D7" w:rsidP="002B27D7">
      <w:pPr>
        <w:spacing w:after="120" w:line="300" w:lineRule="exact"/>
        <w:jc w:val="both"/>
      </w:pPr>
      <w:r w:rsidRPr="006155D5">
        <w:t>A partir de este dato, se determina el Índice de Citación Normalizada por Categoría (ICNC) de cada artículo, que resulta de dividir el número de citas obtenidas por la media de citas correspondiente a su categoría y año de publicación. Este indicador permite comparar de forma equitativa el rendimiento de los artículos, ajustando las diferencias entre áreas científicas.</w:t>
      </w:r>
    </w:p>
    <w:p w14:paraId="484C8568" w14:textId="77777777" w:rsidR="002B27D7" w:rsidRPr="006155D5" w:rsidRDefault="002B27D7" w:rsidP="002B27D7">
      <w:pPr>
        <w:spacing w:after="120" w:line="300" w:lineRule="exact"/>
        <w:jc w:val="both"/>
      </w:pPr>
      <w:r w:rsidRPr="006155D5">
        <w:lastRenderedPageBreak/>
        <w:t>Con base en el ICNC, se calcula el porcentaje de artículos con un índice igual o superior a 1 (ICNC ≥ 1), es decir, aquellos que alcanzan o superan la media de citas de su campo. Este porcentaje se determina por año (Pᵧ) y también en el conjunto del periodo analizado (P₅ₐ</w:t>
      </w:r>
      <w:proofErr w:type="spellStart"/>
      <w:r w:rsidRPr="006155D5">
        <w:t>ños</w:t>
      </w:r>
      <w:proofErr w:type="spellEnd"/>
      <w:r w:rsidRPr="006155D5">
        <w:t>), reflejando la proporción de artículos con un impacto igual o superior al esperado en cinco años.</w:t>
      </w:r>
      <w:r>
        <w:t xml:space="preserve"> Para el cálculo se han excluido aquellas revistas que no tenían cobertura en alguno de los 5 años del periodo evaluado.</w:t>
      </w:r>
    </w:p>
    <w:p w14:paraId="317E8966" w14:textId="3F79ACDC" w:rsidR="002B27D7" w:rsidRPr="002B27D7" w:rsidRDefault="002B27D7" w:rsidP="002B27D7">
      <w:pPr>
        <w:spacing w:after="120" w:line="300" w:lineRule="exact"/>
        <w:jc w:val="both"/>
      </w:pPr>
      <w:r w:rsidRPr="0010324A">
        <w:t xml:space="preserve">La </w:t>
      </w:r>
      <w:r w:rsidRPr="00D42EAC">
        <w:t>descarga y tratamiento de los datos utilizados</w:t>
      </w:r>
      <w:r w:rsidRPr="0010324A">
        <w:t xml:space="preserve"> para el cálculo del indicador de relevancia de los contenidos se ha realizado de forma diferenciada según la fuente empleada</w:t>
      </w:r>
      <w:r>
        <w:t xml:space="preserve">. </w:t>
      </w:r>
      <w:r w:rsidRPr="002B27D7">
        <w:t xml:space="preserve">La información para el análisis de citas y referencias se obtuvo de </w:t>
      </w:r>
      <w:proofErr w:type="spellStart"/>
      <w:r w:rsidRPr="002B27D7">
        <w:t>OpenAlex</w:t>
      </w:r>
      <w:proofErr w:type="spellEnd"/>
      <w:r w:rsidRPr="002B27D7">
        <w:t xml:space="preserve"> y </w:t>
      </w:r>
      <w:proofErr w:type="spellStart"/>
      <w:r w:rsidRPr="002B27D7">
        <w:t>Scopus</w:t>
      </w:r>
      <w:proofErr w:type="spellEnd"/>
      <w:r w:rsidRPr="002B27D7">
        <w:t xml:space="preserve">. En </w:t>
      </w:r>
      <w:proofErr w:type="spellStart"/>
      <w:r w:rsidRPr="002B27D7">
        <w:t>OpenAlex</w:t>
      </w:r>
      <w:proofErr w:type="spellEnd"/>
      <w:r w:rsidRPr="002B27D7">
        <w:t xml:space="preserve">, la recuperación de registros fue eficiente, mientras que en </w:t>
      </w:r>
      <w:proofErr w:type="spellStart"/>
      <w:r w:rsidRPr="002B27D7">
        <w:t>Scopus</w:t>
      </w:r>
      <w:proofErr w:type="spellEnd"/>
      <w:r w:rsidRPr="002B27D7">
        <w:t xml:space="preserve"> se recurrió a búsquedas manuales para las revistas indexadas y a la consulta de documentos secundarios para aquellas no incluidas directamente. Para garantizar la comparabilidad entre ambas fuentes, se utilizó el número total de artículos recuperados en </w:t>
      </w:r>
      <w:proofErr w:type="spellStart"/>
      <w:r w:rsidRPr="002B27D7">
        <w:t>OpenAlex</w:t>
      </w:r>
      <w:proofErr w:type="spellEnd"/>
      <w:r w:rsidRPr="002B27D7">
        <w:t xml:space="preserve"> como base de normalización de las citas obtenidas en </w:t>
      </w:r>
      <w:proofErr w:type="spellStart"/>
      <w:r w:rsidRPr="002B27D7">
        <w:t>Scopus</w:t>
      </w:r>
      <w:proofErr w:type="spellEnd"/>
      <w:r w:rsidRPr="002B27D7">
        <w:t>, manteniendo así la coherencia en la evaluación del impacto científico de las revistas.</w:t>
      </w:r>
    </w:p>
    <w:p w14:paraId="5E69DBC1" w14:textId="77777777" w:rsidR="002B27D7" w:rsidRPr="0010324A" w:rsidRDefault="002B27D7" w:rsidP="002B27D7">
      <w:pPr>
        <w:spacing w:before="120" w:after="120" w:line="300" w:lineRule="exact"/>
        <w:jc w:val="both"/>
      </w:pPr>
      <w:r w:rsidRPr="0010324A">
        <w:t>Este procedimiento combinado ha permitido maximizar la fiabilidad del análisis, integrando datos de ambas fuentes y garantizando una evaluación precisa y equilibrada del impacto de las revistas dentro de sus respectivas áreas de conocimiento.</w:t>
      </w:r>
    </w:p>
    <w:p w14:paraId="1E206E51" w14:textId="77777777" w:rsidR="002B27D7" w:rsidRPr="006155D5" w:rsidRDefault="002B27D7" w:rsidP="002B27D7">
      <w:pPr>
        <w:spacing w:before="120" w:after="120" w:line="300" w:lineRule="exact"/>
        <w:jc w:val="both"/>
      </w:pPr>
      <w:r w:rsidRPr="006155D5">
        <w:t xml:space="preserve">Finalmente, tras el análisis global de todas las revistas evaluadas, la FECYT </w:t>
      </w:r>
      <w:r>
        <w:t>ha establecido</w:t>
      </w:r>
      <w:r w:rsidRPr="006155D5">
        <w:t xml:space="preserve"> un </w:t>
      </w:r>
      <w:r w:rsidRPr="006155D5">
        <w:rPr>
          <w:b/>
          <w:bCs/>
        </w:rPr>
        <w:t>umbral de referencia para cada categoría temática</w:t>
      </w:r>
      <w:r w:rsidRPr="00151980">
        <w:rPr>
          <w:b/>
          <w:bCs/>
        </w:rPr>
        <w:t xml:space="preserve"> del 10%</w:t>
      </w:r>
      <w:r w:rsidRPr="006155D5">
        <w:t xml:space="preserve">. </w:t>
      </w:r>
    </w:p>
    <w:p w14:paraId="435491D6" w14:textId="77777777" w:rsidR="002B27D7" w:rsidRPr="002B27D7" w:rsidRDefault="002B27D7" w:rsidP="002B27D7">
      <w:pPr>
        <w:spacing w:after="120" w:line="300" w:lineRule="exact"/>
        <w:jc w:val="both"/>
        <w:rPr>
          <w:b/>
          <w:bCs/>
          <w:u w:val="single"/>
        </w:rPr>
      </w:pPr>
      <w:r w:rsidRPr="002B27D7">
        <w:rPr>
          <w:b/>
          <w:bCs/>
          <w:u w:val="single"/>
        </w:rPr>
        <w:t xml:space="preserve">Evaluación científica: </w:t>
      </w:r>
    </w:p>
    <w:p w14:paraId="1B03AD3D" w14:textId="155A46A3" w:rsidR="002B27D7" w:rsidRPr="002B27D7" w:rsidRDefault="002B27D7" w:rsidP="002B27D7">
      <w:pPr>
        <w:spacing w:before="120" w:after="120" w:line="300" w:lineRule="exact"/>
        <w:jc w:val="both"/>
      </w:pPr>
      <w:r w:rsidRPr="002B27D7">
        <w:t xml:space="preserve">Comités y paneles de expertos valoran la relevancia, originalidad y rigor de los contenidos, elaborando informes técnicos que fundamentan la concesión del sello.   </w:t>
      </w:r>
    </w:p>
    <w:p w14:paraId="232DA242" w14:textId="77777777" w:rsidR="002B27D7" w:rsidRPr="002B27D7" w:rsidRDefault="002B27D7" w:rsidP="002B27D7">
      <w:pPr>
        <w:spacing w:after="120" w:line="300" w:lineRule="exact"/>
        <w:jc w:val="both"/>
        <w:rPr>
          <w:b/>
          <w:bCs/>
          <w:u w:val="single"/>
        </w:rPr>
      </w:pPr>
      <w:r w:rsidRPr="002B27D7">
        <w:rPr>
          <w:b/>
          <w:bCs/>
          <w:u w:val="single"/>
        </w:rPr>
        <w:t xml:space="preserve">Mención en igualdad de género: </w:t>
      </w:r>
    </w:p>
    <w:p w14:paraId="7719B37B" w14:textId="1E6BA88B" w:rsidR="002B27D7" w:rsidRPr="002B27D7" w:rsidRDefault="002B27D7" w:rsidP="002B27D7">
      <w:pPr>
        <w:spacing w:after="120" w:line="300" w:lineRule="exact"/>
        <w:jc w:val="both"/>
      </w:pPr>
      <w:r w:rsidRPr="002B27D7">
        <w:t xml:space="preserve">Reconocimiento a revistas que integran políticas explícitas de igualdad, composición equilibrada en órganos editoriales, uso de lenguaje inclusivo y análisis de género en investigaciones, alineándose con políticas europeas.  </w:t>
      </w:r>
    </w:p>
    <w:p w14:paraId="7AC959B2" w14:textId="77777777" w:rsidR="002B27D7" w:rsidRPr="002B27D7" w:rsidRDefault="002B27D7" w:rsidP="002B27D7">
      <w:pPr>
        <w:spacing w:after="120" w:line="300" w:lineRule="exact"/>
        <w:jc w:val="both"/>
        <w:rPr>
          <w:u w:val="single"/>
        </w:rPr>
      </w:pPr>
      <w:r w:rsidRPr="002B27D7">
        <w:rPr>
          <w:b/>
          <w:bCs/>
          <w:u w:val="single"/>
        </w:rPr>
        <w:t>Resultados provisionales:</w:t>
      </w:r>
      <w:r w:rsidRPr="002B27D7">
        <w:rPr>
          <w:u w:val="single"/>
        </w:rPr>
        <w:t xml:space="preserve"> </w:t>
      </w:r>
    </w:p>
    <w:p w14:paraId="300769F9" w14:textId="28B67593" w:rsidR="002B27D7" w:rsidRPr="002B27D7" w:rsidRDefault="002B27D7" w:rsidP="002B27D7">
      <w:pPr>
        <w:spacing w:after="120" w:line="300" w:lineRule="exact"/>
        <w:jc w:val="both"/>
      </w:pPr>
      <w:r w:rsidRPr="002B27D7">
        <w:t xml:space="preserve">En la convocatoria 2025 se evaluaron 742 revistas, con 71 obteniendo el sello por primera vez y 341 renovándolo; 24 y 143 revistas respectivamente recibieron la mención en igualdad de género.   </w:t>
      </w:r>
    </w:p>
    <w:p w14:paraId="776843E7" w14:textId="77777777" w:rsidR="00874546" w:rsidRPr="002B27D7" w:rsidRDefault="00874546" w:rsidP="002B27D7">
      <w:pPr>
        <w:spacing w:after="120" w:line="300" w:lineRule="exact"/>
        <w:jc w:val="both"/>
        <w:rPr>
          <w:u w:val="single"/>
        </w:rPr>
      </w:pPr>
    </w:p>
    <w:sectPr w:rsidR="00874546" w:rsidRPr="002B27D7" w:rsidSect="002B27D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0E9B" w14:textId="77777777" w:rsidR="0098210B" w:rsidRDefault="0098210B" w:rsidP="0098210B">
      <w:pPr>
        <w:spacing w:after="0" w:line="240" w:lineRule="auto"/>
      </w:pPr>
      <w:r>
        <w:separator/>
      </w:r>
    </w:p>
  </w:endnote>
  <w:endnote w:type="continuationSeparator" w:id="0">
    <w:p w14:paraId="2A72AAE1" w14:textId="77777777" w:rsidR="0098210B" w:rsidRDefault="0098210B" w:rsidP="0098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76AD" w14:textId="77777777" w:rsidR="0098210B" w:rsidRDefault="0098210B" w:rsidP="0098210B">
      <w:pPr>
        <w:spacing w:after="0" w:line="240" w:lineRule="auto"/>
      </w:pPr>
      <w:r>
        <w:separator/>
      </w:r>
    </w:p>
  </w:footnote>
  <w:footnote w:type="continuationSeparator" w:id="0">
    <w:p w14:paraId="492F3705" w14:textId="77777777" w:rsidR="0098210B" w:rsidRDefault="0098210B" w:rsidP="00982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83E9" w14:textId="5DE548C2" w:rsidR="0098210B" w:rsidRDefault="0098210B">
    <w:pPr>
      <w:pStyle w:val="Encabezado"/>
    </w:pPr>
    <w:r>
      <w:rPr>
        <w:noProof/>
      </w:rPr>
      <w:drawing>
        <wp:anchor distT="0" distB="0" distL="114300" distR="114300" simplePos="0" relativeHeight="251659264" behindDoc="0" locked="0" layoutInCell="1" hidden="0" allowOverlap="1" wp14:anchorId="06C57B60" wp14:editId="6E63603F">
          <wp:simplePos x="0" y="0"/>
          <wp:positionH relativeFrom="column">
            <wp:posOffset>4277995</wp:posOffset>
          </wp:positionH>
          <wp:positionV relativeFrom="paragraph">
            <wp:posOffset>-315595</wp:posOffset>
          </wp:positionV>
          <wp:extent cx="1475740" cy="640715"/>
          <wp:effectExtent l="0" t="0" r="0" b="6985"/>
          <wp:wrapNone/>
          <wp:docPr id="763300487" name="image1.jpg" descr="O:\Diseño gráfico\PC IVAN CARRERO\LOGOS ACCESO DIRECTO\Composiciones JPG INNOVACION\Logo-FECYT-Innovacion@1800x-100.jpg"/>
          <wp:cNvGraphicFramePr/>
          <a:graphic xmlns:a="http://schemas.openxmlformats.org/drawingml/2006/main">
            <a:graphicData uri="http://schemas.openxmlformats.org/drawingml/2006/picture">
              <pic:pic xmlns:pic="http://schemas.openxmlformats.org/drawingml/2006/picture">
                <pic:nvPicPr>
                  <pic:cNvPr id="0" name="image1.jpg" descr="O:\Diseño gráfico\PC IVAN CARRERO\LOGOS ACCESO DIRECTO\Composiciones JPG INNOVACION\Logo-FECYT-Innovacion@1800x-100.jpg"/>
                  <pic:cNvPicPr preferRelativeResize="0"/>
                </pic:nvPicPr>
                <pic:blipFill>
                  <a:blip r:embed="rId1"/>
                  <a:srcRect/>
                  <a:stretch>
                    <a:fillRect/>
                  </a:stretch>
                </pic:blipFill>
                <pic:spPr>
                  <a:xfrm>
                    <a:off x="0" y="0"/>
                    <a:ext cx="1475740" cy="640715"/>
                  </a:xfrm>
                  <a:prstGeom prst="rect">
                    <a:avLst/>
                  </a:prstGeom>
                  <a:ln/>
                </pic:spPr>
              </pic:pic>
            </a:graphicData>
          </a:graphic>
        </wp:anchor>
      </w:drawing>
    </w:r>
    <w:r>
      <w:rPr>
        <w:noProof/>
      </w:rPr>
      <w:drawing>
        <wp:anchor distT="0" distB="0" distL="114300" distR="114300" simplePos="0" relativeHeight="251660288" behindDoc="0" locked="0" layoutInCell="1" allowOverlap="1" wp14:anchorId="5AE9A12D" wp14:editId="5120B242">
          <wp:simplePos x="0" y="0"/>
          <wp:positionH relativeFrom="margin">
            <wp:posOffset>0</wp:posOffset>
          </wp:positionH>
          <wp:positionV relativeFrom="topMargin">
            <wp:posOffset>356007</wp:posOffset>
          </wp:positionV>
          <wp:extent cx="1960245" cy="540385"/>
          <wp:effectExtent l="0" t="0" r="1905" b="0"/>
          <wp:wrapTopAndBottom/>
          <wp:docPr id="524756884" name="Gráfico 1">
            <a:extLst xmlns:a="http://schemas.openxmlformats.org/drawingml/2006/main">
              <a:ext uri="{FF2B5EF4-FFF2-40B4-BE49-F238E27FC236}">
                <a16:creationId xmlns:a16="http://schemas.microsoft.com/office/drawing/2014/main" id="{2CF631B0-9BE8-56F4-8AED-34A4476E7B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1">
                    <a:extLst>
                      <a:ext uri="{FF2B5EF4-FFF2-40B4-BE49-F238E27FC236}">
                        <a16:creationId xmlns:a16="http://schemas.microsoft.com/office/drawing/2014/main" id="{2CF631B0-9BE8-56F4-8AED-34A4476E7BAE}"/>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bwMode="auto">
                  <a:xfrm>
                    <a:off x="0" y="0"/>
                    <a:ext cx="1960245" cy="540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05C20"/>
    <w:multiLevelType w:val="multilevel"/>
    <w:tmpl w:val="1530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48EE"/>
    <w:multiLevelType w:val="hybridMultilevel"/>
    <w:tmpl w:val="4F9EB40C"/>
    <w:lvl w:ilvl="0" w:tplc="5124306E">
      <w:start w:val="3"/>
      <w:numFmt w:val="bullet"/>
      <w:lvlText w:val="-"/>
      <w:lvlJc w:val="left"/>
      <w:pPr>
        <w:ind w:left="720" w:hanging="360"/>
      </w:pPr>
      <w:rPr>
        <w:rFonts w:ascii="Cambria" w:eastAsiaTheme="minorEastAsia" w:hAnsi="Cambria"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19000846">
    <w:abstractNumId w:val="0"/>
  </w:num>
  <w:num w:numId="2" w16cid:durableId="181568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D7"/>
    <w:rsid w:val="00021F35"/>
    <w:rsid w:val="001B7E4A"/>
    <w:rsid w:val="002B27D7"/>
    <w:rsid w:val="00746D86"/>
    <w:rsid w:val="00867E8B"/>
    <w:rsid w:val="00874546"/>
    <w:rsid w:val="008C23A4"/>
    <w:rsid w:val="0098210B"/>
    <w:rsid w:val="00D42EAC"/>
    <w:rsid w:val="00D87961"/>
    <w:rsid w:val="00DD20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ADE2"/>
  <w15:chartTrackingRefBased/>
  <w15:docId w15:val="{48F36DA5-3908-4B69-8DEA-6FD23651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2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2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27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27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27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27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27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27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27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7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27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27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27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27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27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27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27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27D7"/>
    <w:rPr>
      <w:rFonts w:eastAsiaTheme="majorEastAsia" w:cstheme="majorBidi"/>
      <w:color w:val="272727" w:themeColor="text1" w:themeTint="D8"/>
    </w:rPr>
  </w:style>
  <w:style w:type="paragraph" w:styleId="Ttulo">
    <w:name w:val="Title"/>
    <w:basedOn w:val="Normal"/>
    <w:next w:val="Normal"/>
    <w:link w:val="TtuloCar"/>
    <w:uiPriority w:val="10"/>
    <w:qFormat/>
    <w:rsid w:val="002B2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27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27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27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27D7"/>
    <w:pPr>
      <w:spacing w:before="160"/>
      <w:jc w:val="center"/>
    </w:pPr>
    <w:rPr>
      <w:i/>
      <w:iCs/>
      <w:color w:val="404040" w:themeColor="text1" w:themeTint="BF"/>
    </w:rPr>
  </w:style>
  <w:style w:type="character" w:customStyle="1" w:styleId="CitaCar">
    <w:name w:val="Cita Car"/>
    <w:basedOn w:val="Fuentedeprrafopredeter"/>
    <w:link w:val="Cita"/>
    <w:uiPriority w:val="29"/>
    <w:rsid w:val="002B27D7"/>
    <w:rPr>
      <w:i/>
      <w:iCs/>
      <w:color w:val="404040" w:themeColor="text1" w:themeTint="BF"/>
    </w:rPr>
  </w:style>
  <w:style w:type="paragraph" w:styleId="Prrafodelista">
    <w:name w:val="List Paragraph"/>
    <w:basedOn w:val="Normal"/>
    <w:uiPriority w:val="34"/>
    <w:qFormat/>
    <w:rsid w:val="002B27D7"/>
    <w:pPr>
      <w:ind w:left="720"/>
      <w:contextualSpacing/>
    </w:pPr>
  </w:style>
  <w:style w:type="character" w:styleId="nfasisintenso">
    <w:name w:val="Intense Emphasis"/>
    <w:basedOn w:val="Fuentedeprrafopredeter"/>
    <w:uiPriority w:val="21"/>
    <w:qFormat/>
    <w:rsid w:val="002B27D7"/>
    <w:rPr>
      <w:i/>
      <w:iCs/>
      <w:color w:val="0F4761" w:themeColor="accent1" w:themeShade="BF"/>
    </w:rPr>
  </w:style>
  <w:style w:type="paragraph" w:styleId="Citadestacada">
    <w:name w:val="Intense Quote"/>
    <w:basedOn w:val="Normal"/>
    <w:next w:val="Normal"/>
    <w:link w:val="CitadestacadaCar"/>
    <w:uiPriority w:val="30"/>
    <w:qFormat/>
    <w:rsid w:val="002B2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27D7"/>
    <w:rPr>
      <w:i/>
      <w:iCs/>
      <w:color w:val="0F4761" w:themeColor="accent1" w:themeShade="BF"/>
    </w:rPr>
  </w:style>
  <w:style w:type="character" w:styleId="Referenciaintensa">
    <w:name w:val="Intense Reference"/>
    <w:basedOn w:val="Fuentedeprrafopredeter"/>
    <w:uiPriority w:val="32"/>
    <w:qFormat/>
    <w:rsid w:val="002B27D7"/>
    <w:rPr>
      <w:b/>
      <w:bCs/>
      <w:smallCaps/>
      <w:color w:val="0F4761" w:themeColor="accent1" w:themeShade="BF"/>
      <w:spacing w:val="5"/>
    </w:rPr>
  </w:style>
  <w:style w:type="paragraph" w:styleId="NormalWeb">
    <w:name w:val="Normal (Web)"/>
    <w:basedOn w:val="Normal"/>
    <w:uiPriority w:val="99"/>
    <w:unhideWhenUsed/>
    <w:rsid w:val="002B27D7"/>
    <w:pPr>
      <w:spacing w:before="100" w:beforeAutospacing="1" w:after="100" w:afterAutospacing="1" w:line="278" w:lineRule="auto"/>
    </w:pPr>
    <w:rPr>
      <w:rFonts w:eastAsiaTheme="minorEastAsia"/>
      <w:sz w:val="24"/>
      <w:szCs w:val="24"/>
      <w:lang w:eastAsia="es-ES"/>
    </w:rPr>
  </w:style>
  <w:style w:type="character" w:styleId="Textoennegrita">
    <w:name w:val="Strong"/>
    <w:basedOn w:val="Fuentedeprrafopredeter"/>
    <w:uiPriority w:val="22"/>
    <w:qFormat/>
    <w:rsid w:val="002B27D7"/>
    <w:rPr>
      <w:b/>
      <w:bCs/>
    </w:rPr>
  </w:style>
  <w:style w:type="paragraph" w:styleId="Encabezado">
    <w:name w:val="header"/>
    <w:basedOn w:val="Normal"/>
    <w:link w:val="EncabezadoCar"/>
    <w:uiPriority w:val="99"/>
    <w:unhideWhenUsed/>
    <w:rsid w:val="009821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210B"/>
  </w:style>
  <w:style w:type="paragraph" w:styleId="Piedepgina">
    <w:name w:val="footer"/>
    <w:basedOn w:val="Normal"/>
    <w:link w:val="PiedepginaCar"/>
    <w:uiPriority w:val="99"/>
    <w:unhideWhenUsed/>
    <w:rsid w:val="009821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2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A0544-B129-4F39-A28D-34DCF76E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3949</Characters>
  <Application>Microsoft Office Word</Application>
  <DocSecurity>0</DocSecurity>
  <Lines>329</Lines>
  <Paragraphs>139</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Ángeles Coslado Bernabé</dc:creator>
  <cp:keywords/>
  <dc:description/>
  <cp:lastModifiedBy>María Ángeles Coslado Bernabé</cp:lastModifiedBy>
  <cp:revision>2</cp:revision>
  <dcterms:created xsi:type="dcterms:W3CDTF">2025-11-12T14:28:00Z</dcterms:created>
  <dcterms:modified xsi:type="dcterms:W3CDTF">2025-11-12T14:28:00Z</dcterms:modified>
</cp:coreProperties>
</file>